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CB61CB" w:rsidRDefault="00E15C74" w:rsidP="00B020B6">
      <w:pPr>
        <w:spacing w:line="360" w:lineRule="auto"/>
        <w:jc w:val="both"/>
        <w:rPr>
          <w:rFonts w:ascii="Times New Roman" w:hAnsi="Times New Roman" w:cs="Times New Roman"/>
          <w:b/>
        </w:rPr>
      </w:pPr>
      <w:r w:rsidRPr="00CB61CB">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CB61CB">
        <w:trPr>
          <w:trHeight w:val="977"/>
        </w:trPr>
        <w:tc>
          <w:tcPr>
            <w:tcW w:w="3062" w:type="dxa"/>
          </w:tcPr>
          <w:p w:rsidR="00BA178E" w:rsidRPr="00CB61CB" w:rsidRDefault="00E15C74" w:rsidP="00B020B6">
            <w:pPr>
              <w:spacing w:line="360" w:lineRule="auto"/>
              <w:jc w:val="both"/>
              <w:rPr>
                <w:rFonts w:ascii="Times New Roman" w:hAnsi="Times New Roman" w:cs="Times New Roman"/>
                <w:b/>
                <w:bCs/>
              </w:rPr>
            </w:pPr>
            <w:r w:rsidRPr="00CB61CB">
              <w:rPr>
                <w:rFonts w:ascii="Times New Roman" w:hAnsi="Times New Roman" w:cs="Times New Roman"/>
                <w:b/>
                <w:bCs/>
              </w:rPr>
              <w:t>Article Number:</w:t>
            </w:r>
          </w:p>
          <w:p w:rsidR="00BA178E" w:rsidRPr="00CB61CB" w:rsidRDefault="00B020B6" w:rsidP="00B020B6">
            <w:pPr>
              <w:spacing w:line="360" w:lineRule="auto"/>
              <w:jc w:val="both"/>
              <w:rPr>
                <w:rFonts w:ascii="Times New Roman" w:hAnsi="Times New Roman" w:cs="Times New Roman"/>
                <w:b/>
              </w:rPr>
            </w:pPr>
            <w:bookmarkStart w:id="0" w:name="_GoBack"/>
            <w:r w:rsidRPr="00B020B6">
              <w:rPr>
                <w:rFonts w:ascii="Times New Roman" w:hAnsi="Times New Roman" w:cs="Times New Roman"/>
                <w:b/>
              </w:rPr>
              <w:t>JFN-2975</w:t>
            </w:r>
            <w:bookmarkEnd w:id="0"/>
          </w:p>
        </w:tc>
        <w:tc>
          <w:tcPr>
            <w:tcW w:w="3600" w:type="dxa"/>
          </w:tcPr>
          <w:p w:rsidR="00BA178E" w:rsidRPr="00CB61CB" w:rsidRDefault="00E15C74" w:rsidP="00B020B6">
            <w:pPr>
              <w:autoSpaceDE w:val="0"/>
              <w:autoSpaceDN w:val="0"/>
              <w:adjustRightInd w:val="0"/>
              <w:spacing w:after="0" w:line="360" w:lineRule="auto"/>
              <w:jc w:val="both"/>
              <w:rPr>
                <w:rFonts w:ascii="Times New Roman" w:hAnsi="Times New Roman" w:cs="Times New Roman"/>
                <w:b/>
                <w:bCs/>
                <w:lang w:val="en-GB"/>
              </w:rPr>
            </w:pPr>
            <w:r w:rsidRPr="00CB61CB">
              <w:rPr>
                <w:rFonts w:ascii="Times New Roman" w:hAnsi="Times New Roman" w:cs="Times New Roman"/>
                <w:b/>
                <w:bCs/>
                <w:lang w:val="en-GB"/>
              </w:rPr>
              <w:t>Author Name</w:t>
            </w:r>
          </w:p>
          <w:p w:rsidR="00BA178E" w:rsidRPr="00CB61CB" w:rsidRDefault="00BA178E" w:rsidP="00B020B6">
            <w:pPr>
              <w:autoSpaceDE w:val="0"/>
              <w:autoSpaceDN w:val="0"/>
              <w:adjustRightInd w:val="0"/>
              <w:spacing w:after="0" w:line="360" w:lineRule="auto"/>
              <w:jc w:val="both"/>
              <w:rPr>
                <w:rFonts w:ascii="Times New Roman" w:hAnsi="Times New Roman" w:cs="Times New Roman"/>
                <w:b/>
              </w:rPr>
            </w:pPr>
          </w:p>
          <w:p w:rsidR="00BA178E" w:rsidRPr="00CB61CB" w:rsidRDefault="00B020B6" w:rsidP="00B020B6">
            <w:pPr>
              <w:autoSpaceDE w:val="0"/>
              <w:autoSpaceDN w:val="0"/>
              <w:adjustRightInd w:val="0"/>
              <w:spacing w:after="0" w:line="360" w:lineRule="auto"/>
              <w:jc w:val="both"/>
              <w:rPr>
                <w:rFonts w:ascii="Times New Roman" w:hAnsi="Times New Roman" w:cs="Times New Roman"/>
                <w:b/>
                <w:bCs/>
                <w:lang w:val="en-GB"/>
              </w:rPr>
            </w:pPr>
            <w:r w:rsidRPr="00B020B6">
              <w:rPr>
                <w:rFonts w:ascii="Times New Roman" w:hAnsi="Times New Roman" w:cs="Times New Roman"/>
                <w:b/>
                <w:bCs/>
                <w:lang w:val="en-GB"/>
              </w:rPr>
              <w:t xml:space="preserve">Singh </w:t>
            </w:r>
            <w:proofErr w:type="spellStart"/>
            <w:r w:rsidRPr="00B020B6">
              <w:rPr>
                <w:rFonts w:ascii="Times New Roman" w:hAnsi="Times New Roman" w:cs="Times New Roman"/>
                <w:b/>
                <w:bCs/>
                <w:lang w:val="en-GB"/>
              </w:rPr>
              <w:t>Shanker</w:t>
            </w:r>
            <w:proofErr w:type="spellEnd"/>
            <w:r w:rsidRPr="00B020B6">
              <w:rPr>
                <w:rFonts w:ascii="Times New Roman" w:hAnsi="Times New Roman" w:cs="Times New Roman"/>
                <w:b/>
                <w:bCs/>
                <w:lang w:val="en-GB"/>
              </w:rPr>
              <w:t xml:space="preserve"> </w:t>
            </w:r>
            <w:proofErr w:type="spellStart"/>
            <w:r w:rsidRPr="00B020B6">
              <w:rPr>
                <w:rFonts w:ascii="Times New Roman" w:hAnsi="Times New Roman" w:cs="Times New Roman"/>
                <w:b/>
                <w:bCs/>
                <w:lang w:val="en-GB"/>
              </w:rPr>
              <w:t>Suwan</w:t>
            </w:r>
            <w:proofErr w:type="spellEnd"/>
          </w:p>
        </w:tc>
        <w:tc>
          <w:tcPr>
            <w:tcW w:w="3443" w:type="dxa"/>
          </w:tcPr>
          <w:p w:rsidR="00BA178E" w:rsidRPr="00CB61CB" w:rsidRDefault="00E15C74" w:rsidP="00B020B6">
            <w:pPr>
              <w:spacing w:line="360" w:lineRule="auto"/>
              <w:jc w:val="both"/>
              <w:rPr>
                <w:rFonts w:ascii="Times New Roman" w:hAnsi="Times New Roman" w:cs="Times New Roman"/>
              </w:rPr>
            </w:pPr>
            <w:r w:rsidRPr="00CB61CB">
              <w:rPr>
                <w:rFonts w:ascii="Times New Roman" w:hAnsi="Times New Roman" w:cs="Times New Roman"/>
              </w:rPr>
              <w:t xml:space="preserve"> </w:t>
            </w:r>
          </w:p>
        </w:tc>
      </w:tr>
      <w:tr w:rsidR="00BA178E" w:rsidRPr="00CB61CB">
        <w:trPr>
          <w:trHeight w:val="413"/>
        </w:trPr>
        <w:tc>
          <w:tcPr>
            <w:tcW w:w="3062" w:type="dxa"/>
            <w:vAlign w:val="center"/>
          </w:tcPr>
          <w:p w:rsidR="00BA178E" w:rsidRPr="00CB61CB" w:rsidRDefault="00E15C74" w:rsidP="00B020B6">
            <w:pPr>
              <w:spacing w:line="360" w:lineRule="auto"/>
              <w:jc w:val="both"/>
              <w:rPr>
                <w:rFonts w:ascii="Times New Roman" w:hAnsi="Times New Roman" w:cs="Times New Roman"/>
              </w:rPr>
            </w:pPr>
            <w:r w:rsidRPr="00CB61CB">
              <w:rPr>
                <w:rFonts w:ascii="Times New Roman" w:hAnsi="Times New Roman" w:cs="Times New Roman"/>
              </w:rPr>
              <w:t>Accept</w:t>
            </w:r>
          </w:p>
        </w:tc>
        <w:tc>
          <w:tcPr>
            <w:tcW w:w="3600" w:type="dxa"/>
            <w:vAlign w:val="center"/>
          </w:tcPr>
          <w:p w:rsidR="00BA178E" w:rsidRPr="00CB61CB" w:rsidRDefault="00E15C74" w:rsidP="00B020B6">
            <w:pPr>
              <w:pStyle w:val="ListParagraph"/>
              <w:numPr>
                <w:ilvl w:val="0"/>
                <w:numId w:val="1"/>
              </w:numPr>
              <w:spacing w:line="360" w:lineRule="auto"/>
              <w:jc w:val="both"/>
              <w:rPr>
                <w:rFonts w:ascii="Times New Roman" w:hAnsi="Times New Roman" w:cs="Times New Roman"/>
                <w:b/>
              </w:rPr>
            </w:pPr>
            <w:r w:rsidRPr="00CB61CB">
              <w:rPr>
                <w:rFonts w:ascii="Times New Roman" w:hAnsi="Times New Roman" w:cs="Times New Roman"/>
                <w:b/>
              </w:rPr>
              <w:t>Minor Revision</w:t>
            </w:r>
          </w:p>
        </w:tc>
        <w:tc>
          <w:tcPr>
            <w:tcW w:w="3443" w:type="dxa"/>
            <w:vAlign w:val="center"/>
          </w:tcPr>
          <w:p w:rsidR="00BA178E" w:rsidRPr="00CB61CB" w:rsidRDefault="00E15C74" w:rsidP="00B020B6">
            <w:pPr>
              <w:pStyle w:val="ListParagraph"/>
              <w:spacing w:line="360" w:lineRule="auto"/>
              <w:jc w:val="both"/>
              <w:rPr>
                <w:rFonts w:ascii="Times New Roman" w:hAnsi="Times New Roman" w:cs="Times New Roman"/>
              </w:rPr>
            </w:pPr>
            <w:r w:rsidRPr="00CB61CB">
              <w:rPr>
                <w:rFonts w:ascii="Times New Roman" w:hAnsi="Times New Roman" w:cs="Times New Roman"/>
              </w:rPr>
              <w:t>Major Revision</w:t>
            </w:r>
          </w:p>
        </w:tc>
      </w:tr>
      <w:tr w:rsidR="00BA178E" w:rsidRPr="00CB61CB">
        <w:trPr>
          <w:trHeight w:val="440"/>
        </w:trPr>
        <w:tc>
          <w:tcPr>
            <w:tcW w:w="3062" w:type="dxa"/>
            <w:vAlign w:val="center"/>
          </w:tcPr>
          <w:p w:rsidR="00BA178E" w:rsidRPr="00CB61CB" w:rsidRDefault="00E15C74" w:rsidP="00B020B6">
            <w:pPr>
              <w:spacing w:line="360" w:lineRule="auto"/>
              <w:jc w:val="both"/>
              <w:rPr>
                <w:rFonts w:ascii="Times New Roman" w:hAnsi="Times New Roman" w:cs="Times New Roman"/>
              </w:rPr>
            </w:pPr>
            <w:r w:rsidRPr="00CB61CB">
              <w:rPr>
                <w:rFonts w:ascii="Times New Roman" w:hAnsi="Times New Roman" w:cs="Times New Roman"/>
              </w:rPr>
              <w:t>Reject</w:t>
            </w:r>
          </w:p>
        </w:tc>
        <w:tc>
          <w:tcPr>
            <w:tcW w:w="3600" w:type="dxa"/>
            <w:vAlign w:val="center"/>
          </w:tcPr>
          <w:p w:rsidR="00BA178E" w:rsidRPr="00CB61CB" w:rsidRDefault="00E15C74" w:rsidP="00B020B6">
            <w:pPr>
              <w:spacing w:line="360" w:lineRule="auto"/>
              <w:jc w:val="both"/>
              <w:rPr>
                <w:rFonts w:ascii="Times New Roman" w:hAnsi="Times New Roman" w:cs="Times New Roman"/>
              </w:rPr>
            </w:pPr>
            <w:r w:rsidRPr="00CB61CB">
              <w:rPr>
                <w:rFonts w:ascii="Times New Roman" w:hAnsi="Times New Roman" w:cs="Times New Roman"/>
              </w:rPr>
              <w:t>Re-revision</w:t>
            </w:r>
          </w:p>
        </w:tc>
        <w:tc>
          <w:tcPr>
            <w:tcW w:w="3443" w:type="dxa"/>
            <w:vAlign w:val="center"/>
          </w:tcPr>
          <w:p w:rsidR="00BA178E" w:rsidRPr="00CB61CB" w:rsidRDefault="00E15C74" w:rsidP="00B020B6">
            <w:pPr>
              <w:spacing w:line="360" w:lineRule="auto"/>
              <w:jc w:val="both"/>
              <w:rPr>
                <w:rFonts w:ascii="Times New Roman" w:hAnsi="Times New Roman" w:cs="Times New Roman"/>
              </w:rPr>
            </w:pPr>
            <w:r w:rsidRPr="00CB61CB">
              <w:rPr>
                <w:rFonts w:ascii="Times New Roman" w:hAnsi="Times New Roman" w:cs="Times New Roman"/>
              </w:rPr>
              <w:t>Poor Quality</w:t>
            </w:r>
          </w:p>
        </w:tc>
      </w:tr>
      <w:tr w:rsidR="00BA178E" w:rsidRPr="00CB61CB">
        <w:trPr>
          <w:trHeight w:val="2240"/>
        </w:trPr>
        <w:tc>
          <w:tcPr>
            <w:tcW w:w="10105" w:type="dxa"/>
            <w:gridSpan w:val="3"/>
          </w:tcPr>
          <w:p w:rsidR="00AA7B07" w:rsidRDefault="00E15C74" w:rsidP="00B020B6">
            <w:pPr>
              <w:spacing w:line="360" w:lineRule="auto"/>
              <w:jc w:val="both"/>
              <w:rPr>
                <w:rFonts w:ascii="Times New Roman" w:eastAsia="Times New Roman" w:hAnsi="Times New Roman" w:cs="Times New Roman"/>
                <w:b/>
                <w:bCs/>
                <w:shd w:val="clear" w:color="auto" w:fill="FFFFFF"/>
                <w:lang w:val="en-IN" w:eastAsia="en-IN"/>
              </w:rPr>
            </w:pPr>
            <w:r w:rsidRPr="00CB61CB">
              <w:rPr>
                <w:rFonts w:ascii="Times New Roman" w:eastAsia="Times New Roman" w:hAnsi="Times New Roman" w:cs="Times New Roman"/>
                <w:b/>
                <w:bCs/>
                <w:shd w:val="clear" w:color="auto" w:fill="FFFFFF"/>
                <w:lang w:val="en-IN" w:eastAsia="en-IN"/>
              </w:rPr>
              <w:t>Title:</w:t>
            </w:r>
            <w:r w:rsidR="00B57067">
              <w:rPr>
                <w:rFonts w:ascii="Times New Roman" w:eastAsia="Times New Roman" w:hAnsi="Times New Roman" w:cs="Times New Roman"/>
                <w:b/>
                <w:bCs/>
                <w:shd w:val="clear" w:color="auto" w:fill="FFFFFF"/>
                <w:lang w:val="en-IN" w:eastAsia="en-IN"/>
              </w:rPr>
              <w:t xml:space="preserve"> </w:t>
            </w:r>
            <w:r w:rsidR="00B020B6" w:rsidRPr="00B020B6">
              <w:rPr>
                <w:rFonts w:ascii="Times New Roman" w:eastAsia="Times New Roman" w:hAnsi="Times New Roman" w:cs="Times New Roman"/>
                <w:b/>
                <w:bCs/>
                <w:shd w:val="clear" w:color="auto" w:fill="FFFFFF"/>
                <w:lang w:val="en-IN" w:eastAsia="en-IN"/>
              </w:rPr>
              <w:t>Studies on Organoleptic Attributes of fortified burfi by using shredded Bottle gourd (</w:t>
            </w:r>
            <w:proofErr w:type="spellStart"/>
            <w:r w:rsidR="00B020B6" w:rsidRPr="00B020B6">
              <w:rPr>
                <w:rFonts w:ascii="Times New Roman" w:eastAsia="Times New Roman" w:hAnsi="Times New Roman" w:cs="Times New Roman"/>
                <w:b/>
                <w:bCs/>
                <w:shd w:val="clear" w:color="auto" w:fill="FFFFFF"/>
                <w:lang w:val="en-IN" w:eastAsia="en-IN"/>
              </w:rPr>
              <w:t>Lageneria</w:t>
            </w:r>
            <w:proofErr w:type="spellEnd"/>
            <w:r w:rsidR="00B020B6" w:rsidRPr="00B020B6">
              <w:rPr>
                <w:rFonts w:ascii="Times New Roman" w:eastAsia="Times New Roman" w:hAnsi="Times New Roman" w:cs="Times New Roman"/>
                <w:b/>
                <w:bCs/>
                <w:shd w:val="clear" w:color="auto" w:fill="FFFFFF"/>
                <w:lang w:val="en-IN" w:eastAsia="en-IN"/>
              </w:rPr>
              <w:t xml:space="preserve"> </w:t>
            </w:r>
            <w:proofErr w:type="spellStart"/>
            <w:r w:rsidR="00B020B6" w:rsidRPr="00B020B6">
              <w:rPr>
                <w:rFonts w:ascii="Times New Roman" w:eastAsia="Times New Roman" w:hAnsi="Times New Roman" w:cs="Times New Roman"/>
                <w:b/>
                <w:bCs/>
                <w:shd w:val="clear" w:color="auto" w:fill="FFFFFF"/>
                <w:lang w:val="en-IN" w:eastAsia="en-IN"/>
              </w:rPr>
              <w:t>siceraria</w:t>
            </w:r>
            <w:proofErr w:type="spellEnd"/>
            <w:r w:rsidR="00B020B6" w:rsidRPr="00B020B6">
              <w:rPr>
                <w:rFonts w:ascii="Times New Roman" w:eastAsia="Times New Roman" w:hAnsi="Times New Roman" w:cs="Times New Roman"/>
                <w:b/>
                <w:bCs/>
                <w:shd w:val="clear" w:color="auto" w:fill="FFFFFF"/>
                <w:lang w:val="en-IN" w:eastAsia="en-IN"/>
              </w:rPr>
              <w:t xml:space="preserve">), Carrot (Daucus </w:t>
            </w:r>
            <w:proofErr w:type="spellStart"/>
            <w:r w:rsidR="00B020B6" w:rsidRPr="00B020B6">
              <w:rPr>
                <w:rFonts w:ascii="Times New Roman" w:eastAsia="Times New Roman" w:hAnsi="Times New Roman" w:cs="Times New Roman"/>
                <w:b/>
                <w:bCs/>
                <w:shd w:val="clear" w:color="auto" w:fill="FFFFFF"/>
                <w:lang w:val="en-IN" w:eastAsia="en-IN"/>
              </w:rPr>
              <w:t>carota</w:t>
            </w:r>
            <w:proofErr w:type="spellEnd"/>
            <w:r w:rsidR="00B020B6" w:rsidRPr="00B020B6">
              <w:rPr>
                <w:rFonts w:ascii="Times New Roman" w:eastAsia="Times New Roman" w:hAnsi="Times New Roman" w:cs="Times New Roman"/>
                <w:b/>
                <w:bCs/>
                <w:shd w:val="clear" w:color="auto" w:fill="FFFFFF"/>
                <w:lang w:val="en-IN" w:eastAsia="en-IN"/>
              </w:rPr>
              <w:t>) and Beetroot (Beta vulgaris)</w:t>
            </w:r>
          </w:p>
          <w:p w:rsidR="00525E08" w:rsidRDefault="00E15C74" w:rsidP="00B020B6">
            <w:pPr>
              <w:spacing w:line="360" w:lineRule="auto"/>
              <w:jc w:val="both"/>
              <w:rPr>
                <w:rFonts w:ascii="Times New Roman" w:hAnsi="Times New Roman" w:cs="Times New Roman"/>
              </w:rPr>
            </w:pPr>
            <w:r w:rsidRPr="000C4B93">
              <w:rPr>
                <w:rFonts w:ascii="Times New Roman" w:eastAsia="Times New Roman" w:hAnsi="Times New Roman" w:cs="Times New Roman"/>
                <w:bCs/>
                <w:shd w:val="clear" w:color="auto" w:fill="FFFFFF"/>
                <w:lang w:val="en-IN" w:eastAsia="en-IN"/>
              </w:rPr>
              <w:t>General Comments from Reviewer</w:t>
            </w:r>
            <w:r w:rsidRPr="000C4B93">
              <w:rPr>
                <w:rFonts w:ascii="Times New Roman" w:hAnsi="Times New Roman" w:cs="Times New Roman"/>
              </w:rPr>
              <w:t xml:space="preserve">: </w:t>
            </w:r>
            <w:r w:rsidR="009121B9" w:rsidRPr="000C4B93">
              <w:rPr>
                <w:rFonts w:ascii="Times New Roman" w:hAnsi="Times New Roman" w:cs="Times New Roman"/>
              </w:rPr>
              <w:t>-</w:t>
            </w:r>
            <w:r w:rsidR="000C4B93">
              <w:t xml:space="preserve"> </w:t>
            </w:r>
            <w:r w:rsidR="00B020B6" w:rsidRPr="00B020B6">
              <w:rPr>
                <w:rFonts w:ascii="Times New Roman" w:hAnsi="Times New Roman" w:cs="Times New Roman"/>
              </w:rPr>
              <w:t>The study addresses a novel and interesting approach to developing functional dairy products using vegetables. However, clarity, formatting, and grammar issues significantly hinder comprehension. With substantial improvements in writing quality, visual presentation, and discussion depth, the manuscript has the potential to be a valuable contribution to food science literature.</w:t>
            </w:r>
          </w:p>
          <w:p w:rsidR="00B020B6" w:rsidRPr="00B020B6" w:rsidRDefault="00B020B6" w:rsidP="00B020B6">
            <w:pPr>
              <w:pStyle w:val="ListParagraph"/>
              <w:numPr>
                <w:ilvl w:val="0"/>
                <w:numId w:val="40"/>
              </w:numPr>
              <w:spacing w:line="360" w:lineRule="auto"/>
              <w:jc w:val="both"/>
              <w:rPr>
                <w:rFonts w:ascii="Times New Roman" w:eastAsia="Times New Roman" w:hAnsi="Times New Roman" w:cs="Times New Roman"/>
                <w:bCs/>
                <w:shd w:val="clear" w:color="auto" w:fill="FFFFFF"/>
                <w:lang w:val="en-IN" w:eastAsia="en-IN"/>
              </w:rPr>
            </w:pPr>
            <w:r w:rsidRPr="00B020B6">
              <w:rPr>
                <w:rFonts w:ascii="Times New Roman" w:eastAsia="Times New Roman" w:hAnsi="Times New Roman" w:cs="Times New Roman"/>
                <w:bCs/>
                <w:shd w:val="clear" w:color="auto" w:fill="FFFFFF"/>
                <w:lang w:val="en-IN" w:eastAsia="en-IN"/>
              </w:rPr>
              <w:t>The study explores the fortification of a traditional Indian sweet (burfi) with vegetables like bottle gourd, carrot, and beetroot, which is a creative and health-oriented approach.</w:t>
            </w:r>
            <w:r>
              <w:t xml:space="preserve"> </w:t>
            </w:r>
            <w:r w:rsidRPr="00B020B6">
              <w:rPr>
                <w:rFonts w:ascii="Times New Roman" w:eastAsia="Times New Roman" w:hAnsi="Times New Roman" w:cs="Times New Roman"/>
                <w:bCs/>
                <w:shd w:val="clear" w:color="auto" w:fill="FFFFFF"/>
                <w:lang w:val="en-IN" w:eastAsia="en-IN"/>
              </w:rPr>
              <w:t>It addresses a nutritional gap by incorporating underutilized vegetables with known health benefits, making traditional sweets more appealing to health-conscious consumers and children.</w:t>
            </w:r>
          </w:p>
          <w:p w:rsidR="00B020B6" w:rsidRPr="00B020B6" w:rsidRDefault="00B020B6" w:rsidP="00B020B6">
            <w:pPr>
              <w:pStyle w:val="ListParagraph"/>
              <w:numPr>
                <w:ilvl w:val="0"/>
                <w:numId w:val="40"/>
              </w:numPr>
              <w:spacing w:line="360" w:lineRule="auto"/>
              <w:jc w:val="both"/>
              <w:rPr>
                <w:rFonts w:ascii="Times New Roman" w:eastAsia="Times New Roman" w:hAnsi="Times New Roman" w:cs="Times New Roman"/>
                <w:bCs/>
                <w:shd w:val="clear" w:color="auto" w:fill="FFFFFF"/>
                <w:lang w:val="en-IN" w:eastAsia="en-IN"/>
              </w:rPr>
            </w:pPr>
            <w:r w:rsidRPr="00B020B6">
              <w:rPr>
                <w:rFonts w:ascii="Times New Roman" w:eastAsia="Times New Roman" w:hAnsi="Times New Roman" w:cs="Times New Roman"/>
                <w:bCs/>
                <w:shd w:val="clear" w:color="auto" w:fill="FFFFFF"/>
                <w:lang w:val="en-IN" w:eastAsia="en-IN"/>
              </w:rPr>
              <w:t>The research has a well-defined objective: to assess the impact of different proportions of vegetables on the organoleptic (sensory) properties of burfi.</w:t>
            </w:r>
            <w:r>
              <w:t xml:space="preserve"> </w:t>
            </w:r>
            <w:r w:rsidRPr="00B020B6">
              <w:rPr>
                <w:rFonts w:ascii="Times New Roman" w:eastAsia="Times New Roman" w:hAnsi="Times New Roman" w:cs="Times New Roman"/>
                <w:bCs/>
                <w:shd w:val="clear" w:color="auto" w:fill="FFFFFF"/>
                <w:lang w:val="en-IN" w:eastAsia="en-IN"/>
              </w:rPr>
              <w:t>The use of 15 different treatment combinations allows for a comparative analysis and helps identify the most acceptable formulation.</w:t>
            </w:r>
          </w:p>
          <w:p w:rsidR="00B020B6" w:rsidRPr="00B020B6" w:rsidRDefault="00B020B6" w:rsidP="00B020B6">
            <w:pPr>
              <w:pStyle w:val="ListParagraph"/>
              <w:numPr>
                <w:ilvl w:val="0"/>
                <w:numId w:val="40"/>
              </w:numPr>
              <w:spacing w:line="360" w:lineRule="auto"/>
              <w:jc w:val="both"/>
              <w:rPr>
                <w:rFonts w:ascii="Times New Roman" w:eastAsia="Times New Roman" w:hAnsi="Times New Roman" w:cs="Times New Roman"/>
                <w:bCs/>
                <w:shd w:val="clear" w:color="auto" w:fill="FFFFFF"/>
                <w:lang w:val="en-IN" w:eastAsia="en-IN"/>
              </w:rPr>
            </w:pPr>
            <w:r w:rsidRPr="00B020B6">
              <w:rPr>
                <w:rFonts w:ascii="Times New Roman" w:eastAsia="Times New Roman" w:hAnsi="Times New Roman" w:cs="Times New Roman"/>
                <w:bCs/>
                <w:shd w:val="clear" w:color="auto" w:fill="FFFFFF"/>
                <w:lang w:val="en-IN" w:eastAsia="en-IN"/>
              </w:rPr>
              <w:t>Introduction provides adequate background on burfi, bottle gourd, beetroot, and carrot, including their nutritional values.</w:t>
            </w:r>
            <w:r>
              <w:t xml:space="preserve"> </w:t>
            </w:r>
            <w:r w:rsidRPr="00B020B6">
              <w:rPr>
                <w:rFonts w:ascii="Times New Roman" w:eastAsia="Times New Roman" w:hAnsi="Times New Roman" w:cs="Times New Roman"/>
                <w:bCs/>
                <w:shd w:val="clear" w:color="auto" w:fill="FFFFFF"/>
                <w:lang w:val="en-IN" w:eastAsia="en-IN"/>
              </w:rPr>
              <w:t>Clearly justifies the need for the study, but the flow is disrupted by poor sentence structure and redundancy.</w:t>
            </w:r>
          </w:p>
          <w:p w:rsidR="00B020B6" w:rsidRPr="00B020B6" w:rsidRDefault="00B020B6" w:rsidP="00B020B6">
            <w:pPr>
              <w:pStyle w:val="ListParagraph"/>
              <w:numPr>
                <w:ilvl w:val="0"/>
                <w:numId w:val="40"/>
              </w:numPr>
              <w:spacing w:line="360" w:lineRule="auto"/>
              <w:jc w:val="both"/>
              <w:rPr>
                <w:rFonts w:ascii="Times New Roman" w:eastAsia="Times New Roman" w:hAnsi="Times New Roman" w:cs="Times New Roman"/>
                <w:bCs/>
                <w:shd w:val="clear" w:color="auto" w:fill="FFFFFF"/>
                <w:lang w:val="en-IN" w:eastAsia="en-IN"/>
              </w:rPr>
            </w:pPr>
            <w:r w:rsidRPr="00B020B6">
              <w:rPr>
                <w:rFonts w:ascii="Times New Roman" w:eastAsia="Times New Roman" w:hAnsi="Times New Roman" w:cs="Times New Roman"/>
                <w:bCs/>
                <w:shd w:val="clear" w:color="auto" w:fill="FFFFFF"/>
                <w:lang w:val="en-IN" w:eastAsia="en-IN"/>
              </w:rPr>
              <w:t>The methodology is generally well-described, but the treatment descriptions are scattered and difficult to follow. Present all 15 treatments in a well-formatted table for clarity. The flowchart should be converted into a proper diagram or figure; the current text-based structure is repetitive and cluttered.</w:t>
            </w:r>
          </w:p>
          <w:p w:rsidR="00B020B6" w:rsidRPr="00B020B6" w:rsidRDefault="00B020B6" w:rsidP="00B020B6">
            <w:pPr>
              <w:pStyle w:val="ListParagraph"/>
              <w:numPr>
                <w:ilvl w:val="0"/>
                <w:numId w:val="40"/>
              </w:numPr>
              <w:spacing w:line="360" w:lineRule="auto"/>
              <w:jc w:val="both"/>
              <w:rPr>
                <w:rFonts w:ascii="Times New Roman" w:eastAsia="Times New Roman" w:hAnsi="Times New Roman" w:cs="Times New Roman"/>
                <w:bCs/>
                <w:shd w:val="clear" w:color="auto" w:fill="FFFFFF"/>
                <w:lang w:val="en-IN" w:eastAsia="en-IN"/>
              </w:rPr>
            </w:pPr>
            <w:r w:rsidRPr="00B020B6">
              <w:rPr>
                <w:rFonts w:ascii="Times New Roman" w:eastAsia="Times New Roman" w:hAnsi="Times New Roman" w:cs="Times New Roman"/>
                <w:bCs/>
                <w:shd w:val="clear" w:color="auto" w:fill="FFFFFF"/>
                <w:lang w:val="en-IN" w:eastAsia="en-IN"/>
              </w:rPr>
              <w:t>The results are well-tabulated but the discussion is mostly a repetition of the data. Instead, the discussion should interpret the trends: why some combinations performed better, how the components (</w:t>
            </w:r>
            <w:proofErr w:type="spellStart"/>
            <w:r w:rsidRPr="00B020B6">
              <w:rPr>
                <w:rFonts w:ascii="Times New Roman" w:eastAsia="Times New Roman" w:hAnsi="Times New Roman" w:cs="Times New Roman"/>
                <w:bCs/>
                <w:shd w:val="clear" w:color="auto" w:fill="FFFFFF"/>
                <w:lang w:val="en-IN" w:eastAsia="en-IN"/>
              </w:rPr>
              <w:t>fiber</w:t>
            </w:r>
            <w:proofErr w:type="spellEnd"/>
            <w:r w:rsidRPr="00B020B6">
              <w:rPr>
                <w:rFonts w:ascii="Times New Roman" w:eastAsia="Times New Roman" w:hAnsi="Times New Roman" w:cs="Times New Roman"/>
                <w:bCs/>
                <w:shd w:val="clear" w:color="auto" w:fill="FFFFFF"/>
                <w:lang w:val="en-IN" w:eastAsia="en-IN"/>
              </w:rPr>
              <w:t xml:space="preserve">, sugars, </w:t>
            </w:r>
            <w:proofErr w:type="spellStart"/>
            <w:r w:rsidRPr="00B020B6">
              <w:rPr>
                <w:rFonts w:ascii="Times New Roman" w:eastAsia="Times New Roman" w:hAnsi="Times New Roman" w:cs="Times New Roman"/>
                <w:bCs/>
                <w:shd w:val="clear" w:color="auto" w:fill="FFFFFF"/>
                <w:lang w:val="en-IN" w:eastAsia="en-IN"/>
              </w:rPr>
              <w:t>geosmin</w:t>
            </w:r>
            <w:proofErr w:type="spellEnd"/>
            <w:r w:rsidRPr="00B020B6">
              <w:rPr>
                <w:rFonts w:ascii="Times New Roman" w:eastAsia="Times New Roman" w:hAnsi="Times New Roman" w:cs="Times New Roman"/>
                <w:bCs/>
                <w:shd w:val="clear" w:color="auto" w:fill="FFFFFF"/>
                <w:lang w:val="en-IN" w:eastAsia="en-IN"/>
              </w:rPr>
              <w:t>) affected taste or texture, and how your findings relate to past research. Comparative interpretation will significantly strengthen this section.</w:t>
            </w:r>
          </w:p>
          <w:p w:rsidR="00BA178E" w:rsidRPr="00103B8A" w:rsidRDefault="00E15C74" w:rsidP="00B020B6">
            <w:pPr>
              <w:spacing w:line="360" w:lineRule="auto"/>
              <w:jc w:val="both"/>
              <w:rPr>
                <w:rFonts w:ascii="Times New Roman" w:hAnsi="Times New Roman" w:cs="Times New Roman"/>
              </w:rPr>
            </w:pPr>
            <w:r w:rsidRPr="00103B8A">
              <w:rPr>
                <w:rFonts w:ascii="Times New Roman" w:eastAsia="Times New Roman" w:hAnsi="Times New Roman" w:cs="Times New Roman"/>
                <w:bCs/>
                <w:shd w:val="clear" w:color="auto" w:fill="FFFFFF"/>
                <w:lang w:val="en-IN" w:eastAsia="en-IN"/>
              </w:rPr>
              <w:t>The article can be published after m</w:t>
            </w:r>
            <w:r w:rsidR="001477CF">
              <w:rPr>
                <w:rFonts w:ascii="Times New Roman" w:eastAsia="Times New Roman" w:hAnsi="Times New Roman" w:cs="Times New Roman"/>
                <w:bCs/>
                <w:shd w:val="clear" w:color="auto" w:fill="FFFFFF"/>
                <w:lang w:val="en-IN" w:eastAsia="en-IN"/>
              </w:rPr>
              <w:t>ajor</w:t>
            </w:r>
            <w:r w:rsidRPr="00103B8A">
              <w:rPr>
                <w:rFonts w:ascii="Times New Roman" w:eastAsia="Times New Roman" w:hAnsi="Times New Roman" w:cs="Times New Roman"/>
                <w:bCs/>
                <w:shd w:val="clear" w:color="auto" w:fill="FFFFFF"/>
                <w:lang w:val="en-IN" w:eastAsia="en-IN"/>
              </w:rPr>
              <w:t xml:space="preserve"> revision.</w:t>
            </w:r>
          </w:p>
        </w:tc>
      </w:tr>
    </w:tbl>
    <w:p w:rsidR="00BA178E" w:rsidRPr="00CB61CB" w:rsidRDefault="00BA178E" w:rsidP="00B020B6">
      <w:pPr>
        <w:spacing w:line="360" w:lineRule="auto"/>
        <w:jc w:val="both"/>
        <w:rPr>
          <w:rFonts w:ascii="Times New Roman" w:hAnsi="Times New Roman" w:cs="Times New Roman"/>
        </w:rPr>
      </w:pPr>
    </w:p>
    <w:sectPr w:rsidR="00BA178E" w:rsidRPr="00CB61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28D" w:rsidRDefault="00E4328D">
      <w:pPr>
        <w:spacing w:line="240" w:lineRule="auto"/>
      </w:pPr>
      <w:r>
        <w:separator/>
      </w:r>
    </w:p>
  </w:endnote>
  <w:endnote w:type="continuationSeparator" w:id="0">
    <w:p w:rsidR="00E4328D" w:rsidRDefault="00E432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28D" w:rsidRDefault="00E4328D">
      <w:pPr>
        <w:spacing w:after="0"/>
      </w:pPr>
      <w:r>
        <w:separator/>
      </w:r>
    </w:p>
  </w:footnote>
  <w:footnote w:type="continuationSeparator" w:id="0">
    <w:p w:rsidR="00E4328D" w:rsidRDefault="00E4328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C60"/>
    <w:multiLevelType w:val="hybridMultilevel"/>
    <w:tmpl w:val="017E85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73901"/>
    <w:multiLevelType w:val="hybridMultilevel"/>
    <w:tmpl w:val="3EAE21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E4ABB"/>
    <w:multiLevelType w:val="hybridMultilevel"/>
    <w:tmpl w:val="3FF069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F115DB9"/>
    <w:multiLevelType w:val="hybridMultilevel"/>
    <w:tmpl w:val="A404C3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6BB61E1"/>
    <w:multiLevelType w:val="hybridMultilevel"/>
    <w:tmpl w:val="81588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A069A2"/>
    <w:multiLevelType w:val="hybridMultilevel"/>
    <w:tmpl w:val="88ACA9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8E549C3"/>
    <w:multiLevelType w:val="hybridMultilevel"/>
    <w:tmpl w:val="F17CE3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18" w15:restartNumberingAfterBreak="0">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AD4E54"/>
    <w:multiLevelType w:val="hybridMultilevel"/>
    <w:tmpl w:val="46FEDC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277581"/>
    <w:multiLevelType w:val="hybridMultilevel"/>
    <w:tmpl w:val="5D3AEB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5C3345A"/>
    <w:multiLevelType w:val="hybridMultilevel"/>
    <w:tmpl w:val="4ADC2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A4104"/>
    <w:multiLevelType w:val="hybridMultilevel"/>
    <w:tmpl w:val="DE920A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0640A78"/>
    <w:multiLevelType w:val="hybridMultilevel"/>
    <w:tmpl w:val="7F66F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F4560D"/>
    <w:multiLevelType w:val="hybridMultilevel"/>
    <w:tmpl w:val="DB341D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7C258B"/>
    <w:multiLevelType w:val="hybridMultilevel"/>
    <w:tmpl w:val="F894FA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18"/>
  </w:num>
  <w:num w:numId="4">
    <w:abstractNumId w:val="20"/>
  </w:num>
  <w:num w:numId="5">
    <w:abstractNumId w:val="35"/>
  </w:num>
  <w:num w:numId="6">
    <w:abstractNumId w:val="12"/>
  </w:num>
  <w:num w:numId="7">
    <w:abstractNumId w:val="36"/>
  </w:num>
  <w:num w:numId="8">
    <w:abstractNumId w:val="16"/>
  </w:num>
  <w:num w:numId="9">
    <w:abstractNumId w:val="39"/>
  </w:num>
  <w:num w:numId="10">
    <w:abstractNumId w:val="22"/>
  </w:num>
  <w:num w:numId="11">
    <w:abstractNumId w:val="11"/>
  </w:num>
  <w:num w:numId="12">
    <w:abstractNumId w:val="10"/>
  </w:num>
  <w:num w:numId="13">
    <w:abstractNumId w:val="32"/>
  </w:num>
  <w:num w:numId="14">
    <w:abstractNumId w:val="25"/>
  </w:num>
  <w:num w:numId="15">
    <w:abstractNumId w:val="27"/>
  </w:num>
  <w:num w:numId="16">
    <w:abstractNumId w:val="26"/>
  </w:num>
  <w:num w:numId="17">
    <w:abstractNumId w:val="34"/>
  </w:num>
  <w:num w:numId="18">
    <w:abstractNumId w:val="6"/>
  </w:num>
  <w:num w:numId="19">
    <w:abstractNumId w:val="3"/>
  </w:num>
  <w:num w:numId="20">
    <w:abstractNumId w:val="31"/>
  </w:num>
  <w:num w:numId="21">
    <w:abstractNumId w:val="1"/>
  </w:num>
  <w:num w:numId="22">
    <w:abstractNumId w:val="19"/>
  </w:num>
  <w:num w:numId="23">
    <w:abstractNumId w:val="28"/>
  </w:num>
  <w:num w:numId="24">
    <w:abstractNumId w:val="5"/>
  </w:num>
  <w:num w:numId="25">
    <w:abstractNumId w:val="38"/>
  </w:num>
  <w:num w:numId="26">
    <w:abstractNumId w:val="15"/>
  </w:num>
  <w:num w:numId="27">
    <w:abstractNumId w:val="37"/>
  </w:num>
  <w:num w:numId="28">
    <w:abstractNumId w:val="30"/>
  </w:num>
  <w:num w:numId="29">
    <w:abstractNumId w:val="24"/>
  </w:num>
  <w:num w:numId="30">
    <w:abstractNumId w:val="9"/>
  </w:num>
  <w:num w:numId="31">
    <w:abstractNumId w:val="33"/>
  </w:num>
  <w:num w:numId="32">
    <w:abstractNumId w:val="8"/>
  </w:num>
  <w:num w:numId="33">
    <w:abstractNumId w:val="4"/>
  </w:num>
  <w:num w:numId="34">
    <w:abstractNumId w:val="29"/>
  </w:num>
  <w:num w:numId="35">
    <w:abstractNumId w:val="13"/>
  </w:num>
  <w:num w:numId="36">
    <w:abstractNumId w:val="23"/>
  </w:num>
  <w:num w:numId="37">
    <w:abstractNumId w:val="2"/>
  </w:num>
  <w:num w:numId="38">
    <w:abstractNumId w:val="14"/>
  </w:num>
  <w:num w:numId="39">
    <w:abstractNumId w:val="21"/>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6B41"/>
    <w:rsid w:val="000776F5"/>
    <w:rsid w:val="00077C4D"/>
    <w:rsid w:val="000804F7"/>
    <w:rsid w:val="00080E09"/>
    <w:rsid w:val="000817B5"/>
    <w:rsid w:val="00081E8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203"/>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3E38"/>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5782"/>
    <w:rsid w:val="005963F8"/>
    <w:rsid w:val="005970DA"/>
    <w:rsid w:val="00597148"/>
    <w:rsid w:val="005A1BD0"/>
    <w:rsid w:val="005A310C"/>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067"/>
    <w:rsid w:val="00B57218"/>
    <w:rsid w:val="00B575D0"/>
    <w:rsid w:val="00B61C12"/>
    <w:rsid w:val="00B61CD0"/>
    <w:rsid w:val="00B6409D"/>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4A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152A"/>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28D"/>
    <w:rsid w:val="00E437B2"/>
    <w:rsid w:val="00E43E77"/>
    <w:rsid w:val="00E43F13"/>
    <w:rsid w:val="00E45CBA"/>
    <w:rsid w:val="00E51638"/>
    <w:rsid w:val="00E51911"/>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496C9"/>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C05F4-E148-4A5E-A0C9-168739BC4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2025-04-09T09:24:00Z</dcterms:created>
  <dcterms:modified xsi:type="dcterms:W3CDTF">2025-04-09T09:24:00Z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